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end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sz w:val="24"/>
          <w:szCs w:val="24"/>
          <w:lang w:val="bg-BG"/>
        </w:rPr>
        <w:t>Приложение № 1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ab/>
      </w:r>
    </w:p>
    <w:p>
      <w:pPr>
        <w:pStyle w:val="Normal"/>
        <w:spacing w:lineRule="auto" w:line="276" w:before="0"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Настоящото Приложение № 1 е неразделна част от Договор ………….…………г. („Договора“) между </w:t>
      </w:r>
      <w:bookmarkStart w:id="0" w:name="_Hlk52201481"/>
      <w:r>
        <w:rPr>
          <w:rFonts w:cs="Times New Roman" w:ascii="Times New Roman" w:hAnsi="Times New Roman"/>
          <w:sz w:val="24"/>
          <w:szCs w:val="24"/>
          <w:lang w:val="bg-BG"/>
        </w:rPr>
        <w:t>„НАЦИОНАЛНА КОМПАНИЯ ИНДУСТРИАЛНИ ЗОНИ“ ЕАД</w:t>
      </w:r>
      <w:bookmarkEnd w:id="0"/>
      <w:r>
        <w:rPr>
          <w:rFonts w:cs="Times New Roman" w:ascii="Times New Roman" w:hAnsi="Times New Roman"/>
          <w:sz w:val="24"/>
          <w:szCs w:val="24"/>
          <w:lang w:val="bg-BG"/>
        </w:rPr>
        <w:t xml:space="preserve"> –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НАЕМОДАТЕЛ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и _______________ –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 xml:space="preserve"> НАЕМАТЕЛ</w:t>
      </w:r>
      <w:r>
        <w:rPr>
          <w:rFonts w:cs="Times New Roman" w:ascii="Times New Roman" w:hAnsi="Times New Roman"/>
          <w:sz w:val="24"/>
          <w:szCs w:val="24"/>
          <w:lang w:val="bg-BG"/>
        </w:rPr>
        <w:t>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I. ВЪВЕДЕНИЕ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 ЦЕЛ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Това Приложение № 1 има за цел да формулира нивото на обслужване, което 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НАЕМОДАТЕЛЯТ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ще осигури на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 xml:space="preserve">НАЕМАТЕЛЯ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по договора, както и </w:t>
      </w: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>сроковете за отстраняване на повреди.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2. ПРЕДМЕТ НА ДЕЙНОСТ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Настоящето Приложение № 1 обхваща предоставянето под наем, времето за реакция и компенсациите за: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едно или няколко броя незаети за технологични и корпоративни нужди оптични влакна, разположени от шахта, находяща се в гр. Божурище, област София, бул. „Европа“                    № 1А, до помещение за колокация на територията на гр. Божурище.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2.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колокация на телекомуникационно оборудване, размер 1U с ел. консумация до 100W, в комуникационно помещение (помещение за колокация) </w:t>
      </w:r>
      <w:bookmarkStart w:id="1" w:name="_Hlk182403228"/>
      <w:r>
        <w:rPr>
          <w:rFonts w:cs="Times New Roman" w:ascii="Times New Roman" w:hAnsi="Times New Roman"/>
          <w:sz w:val="24"/>
          <w:szCs w:val="24"/>
          <w:lang w:val="bg-BG"/>
        </w:rPr>
        <w:t xml:space="preserve">на територията на </w:t>
      </w: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>Индустриален парк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София-Божурище</w:t>
      </w:r>
      <w:bookmarkEnd w:id="1"/>
      <w:r>
        <w:rPr>
          <w:rFonts w:cs="Times New Roman" w:ascii="Times New Roman" w:hAnsi="Times New Roman"/>
          <w:sz w:val="24"/>
          <w:szCs w:val="24"/>
          <w:lang w:val="bg-BG"/>
        </w:rPr>
        <w:t>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3.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val="bg-BG"/>
        </w:rPr>
        <w:t>оптично влакно във вътрешно трасе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</w:r>
      <w:r>
        <w:rPr>
          <w:rFonts w:eastAsia="Times New Roman" w:cs="Times New Roman" w:ascii="Times New Roman" w:hAnsi="Times New Roman"/>
          <w:bCs/>
          <w:sz w:val="24"/>
          <w:szCs w:val="24"/>
          <w:lang w:val="bg-BG"/>
        </w:rPr>
        <w:t xml:space="preserve">на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територията на </w:t>
      </w:r>
      <w:r>
        <w:rPr>
          <w:rFonts w:eastAsia="Times New Roman" w:cs="Times New Roman" w:ascii="Times New Roman" w:hAnsi="Times New Roman"/>
          <w:sz w:val="24"/>
          <w:szCs w:val="24"/>
          <w:lang w:val="bg-BG"/>
        </w:rPr>
        <w:t>Индустриален парк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София-Божурище от помещение за колокация, до границата на имотите на всеки един потребител.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II. ПАРАМЕТРИ НА ОПТИЧНИ ВЛАКНА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Оптични кабели (single  mode) - G652: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затихване при 1310 nm да е ≤0.34 dB/km;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затихване при 1383 nm да е ≤0.32 dB/km;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затихване при 1550 nm да е ≤0.20 dB/km;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затихване при 1625 nm да е ≤0.22 dB/km;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хроматична дисперсия при 1550 nm да е ≤18.0 ps/nm-km;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хроматична дисперсия при 1625 nm да е ≤22.0 ps/nm-km;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коефициент на поляризационно-модова дисперсия (PMD) на влакното да е ≤0.2 ps/√km;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прагова стойност на критичната дължина на вълната на оптичното влакно (Cutoff Wavelength - λcc ) да е ≤1260 nm;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нулева дисперсия при дължина на вълната от 1300 – 1324 nm;</w:t>
      </w:r>
    </w:p>
    <w:p>
      <w:pPr>
        <w:pStyle w:val="tire"/>
        <w:numPr>
          <w:ilvl w:val="0"/>
          <w:numId w:val="2"/>
        </w:numPr>
        <w:spacing w:lineRule="auto" w:line="276" w:before="0" w:after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bg-BG" w:eastAsia="en-US"/>
        </w:rPr>
        <w:t>внесеното затихване на заварка ≤ 0.35 dB;</w:t>
      </w:r>
    </w:p>
    <w:p>
      <w:pPr>
        <w:pStyle w:val="tire"/>
        <w:spacing w:lineRule="auto" w:line="276" w:before="0" w:after="0"/>
        <w:ind w:start="624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III. ПАРАМЕТРИ ПОМЕЩЕНИЕ ЗА КОЛОКИРАНЕ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Услугата включва предоставяне на физическо място/пространство за колокиране в отделени площи, в помещения на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НАЕМОДАТЕЛЯ</w:t>
      </w:r>
      <w:r>
        <w:rPr>
          <w:rFonts w:cs="Times New Roman" w:ascii="Times New Roman" w:hAnsi="Times New Roman"/>
          <w:sz w:val="24"/>
          <w:szCs w:val="24"/>
          <w:lang w:val="bg-BG"/>
        </w:rPr>
        <w:t>, за разполагане на телекомуникационно оборудване, като се осигурява: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Охрана на помещението - 24 часова / 7 дни в седмицата;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Резервирано електрозахранване: 230V (+/- 10%);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Пожаробезопасност на помещението;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Подходяща температура в помещението: 22 °C (+/- 2 °C);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Подходяща влажност в помещението:  50 % (+/- 20 %);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Възможност за достъп на упълномощени от клиента лица;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start="100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Контрол на достъп;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IV. ПАРАМЕТРИ НА ОБСЛУЖВАНЕ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 ВРЕМЕНА ЗА РЕАКЦИЯ  И ВРЕМЕНА ЗА ОТСТРАНЯВАНЕ НА ПОВРЕДИ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1.1. ЗАЛА ЗА КОЛОКАЦИЯ</w:t>
      </w:r>
    </w:p>
    <w:tbl>
      <w:tblPr>
        <w:tblW w:w="949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343"/>
        <w:gridCol w:w="7150"/>
      </w:tblGrid>
      <w:tr>
        <w:trPr>
          <w:trHeight w:val="266" w:hRule="atLeast"/>
          <w:cantSplit w:val="true"/>
        </w:trPr>
        <w:tc>
          <w:tcPr>
            <w:tcW w:w="2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Приоритет</w:t>
            </w:r>
          </w:p>
        </w:tc>
        <w:tc>
          <w:tcPr>
            <w:tcW w:w="71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Определение</w:t>
            </w:r>
          </w:p>
        </w:tc>
      </w:tr>
      <w:tr>
        <w:trPr>
          <w:trHeight w:val="281" w:hRule="atLeast"/>
          <w:cantSplit w:val="true"/>
        </w:trPr>
        <w:tc>
          <w:tcPr>
            <w:tcW w:w="2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1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Прекъсване на предоставяните услуги</w:t>
            </w:r>
          </w:p>
        </w:tc>
      </w:tr>
      <w:tr>
        <w:trPr>
          <w:trHeight w:val="516" w:hRule="atLeast"/>
          <w:cantSplit w:val="true"/>
        </w:trPr>
        <w:tc>
          <w:tcPr>
            <w:tcW w:w="2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71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Отпадане на компоненти на услугите без да се нарушава предоставянето им</w:t>
            </w:r>
          </w:p>
        </w:tc>
      </w:tr>
      <w:tr>
        <w:trPr>
          <w:trHeight w:val="266" w:hRule="atLeast"/>
          <w:cantSplit w:val="true"/>
        </w:trPr>
        <w:tc>
          <w:tcPr>
            <w:tcW w:w="2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1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Влошено качество</w:t>
            </w:r>
          </w:p>
        </w:tc>
      </w:tr>
      <w:tr>
        <w:trPr>
          <w:trHeight w:val="532" w:hRule="atLeast"/>
          <w:cantSplit w:val="true"/>
        </w:trPr>
        <w:tc>
          <w:tcPr>
            <w:tcW w:w="23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150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Инцидент възникнал при предоставяне на услугата, който не се отразява на качеството на услугата на клиента</w:t>
            </w:r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tabs>
          <w:tab w:val="clear" w:pos="720"/>
          <w:tab w:val="left" w:pos="0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8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219"/>
        <w:gridCol w:w="1656"/>
        <w:gridCol w:w="1663"/>
        <w:gridCol w:w="1658"/>
        <w:gridCol w:w="2292"/>
      </w:tblGrid>
      <w:tr>
        <w:trPr>
          <w:trHeight w:val="864" w:hRule="atLeast"/>
          <w:cantSplit w:val="true"/>
        </w:trPr>
        <w:tc>
          <w:tcPr>
            <w:tcW w:w="221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2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</w:tr>
      <w:tr>
        <w:trPr>
          <w:trHeight w:val="64" w:hRule="atLeast"/>
        </w:trPr>
        <w:tc>
          <w:tcPr>
            <w:tcW w:w="221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bg-BG"/>
              </w:rPr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Приоритет 4</w:t>
            </w:r>
          </w:p>
        </w:tc>
      </w:tr>
      <w:tr>
        <w:trPr>
          <w:trHeight w:val="1452" w:hRule="atLeast"/>
          <w:cantSplit w:val="true"/>
        </w:trPr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телефон)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2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</w:tr>
      <w:tr>
        <w:trPr>
          <w:trHeight w:val="1452" w:hRule="atLeast"/>
          <w:cantSplit w:val="true"/>
        </w:trPr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ел. поща)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2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</w:tr>
      <w:tr>
        <w:trPr>
          <w:trHeight w:val="876" w:hRule="atLeast"/>
          <w:cantSplit w:val="true"/>
        </w:trPr>
        <w:tc>
          <w:tcPr>
            <w:tcW w:w="2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Време за възстановяване</w:t>
            </w:r>
          </w:p>
        </w:tc>
        <w:tc>
          <w:tcPr>
            <w:tcW w:w="16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6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2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-</w:t>
            </w:r>
          </w:p>
        </w:tc>
      </w:tr>
    </w:tbl>
    <w:p>
      <w:pPr>
        <w:pStyle w:val="Normal"/>
        <w:spacing w:lineRule="auto" w:line="276" w:before="120" w:after="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bookmarkStart w:id="2" w:name="_Hlk48832502"/>
      <w:r>
        <w:rPr>
          <w:rFonts w:cs="Times New Roman" w:ascii="Times New Roman" w:hAnsi="Times New Roman"/>
          <w:color w:val="000000"/>
          <w:sz w:val="24"/>
          <w:szCs w:val="24"/>
          <w:lang w:val="bg-BG"/>
        </w:rPr>
        <w:t xml:space="preserve">За всички инциденти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НАЕМОДАТЕЛЯТ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уведомява по ел. поща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НАЕМАТЕЛЯ</w:t>
      </w:r>
      <w:r>
        <w:rPr>
          <w:rFonts w:cs="Times New Roman" w:ascii="Times New Roman" w:hAnsi="Times New Roman"/>
          <w:sz w:val="24"/>
          <w:szCs w:val="24"/>
          <w:lang w:val="bg-BG"/>
        </w:rPr>
        <w:t>.</w:t>
      </w:r>
      <w:r>
        <w:rPr>
          <w:rFonts w:cs="Times New Roman" w:ascii="Times New Roman" w:hAnsi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  </w:t>
      </w:r>
      <w:bookmarkEnd w:id="2"/>
    </w:p>
    <w:p>
      <w:pPr>
        <w:pStyle w:val="Normal"/>
        <w:spacing w:lineRule="auto" w:line="276" w:before="120" w:after="0"/>
        <w:ind w:end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1.2. ОПТИЧНИ ВЛАКНА</w:t>
      </w:r>
    </w:p>
    <w:tbl>
      <w:tblPr>
        <w:tblpPr w:vertAnchor="text" w:horzAnchor="text" w:tblpXSpec="right" w:leftFromText="187" w:rightFromText="187" w:tblpY="1"/>
        <w:tblW w:w="943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1887"/>
        <w:gridCol w:w="7547"/>
      </w:tblGrid>
      <w:tr>
        <w:trPr>
          <w:tblHeader w:val="true"/>
          <w:cantSplit w:val="true"/>
        </w:trPr>
        <w:tc>
          <w:tcPr>
            <w:tcW w:w="18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20"/>
          </w:tcPr>
          <w:p>
            <w:pPr>
              <w:pStyle w:val="BodyText1"/>
              <w:keepNext w:val="true"/>
              <w:spacing w:lineRule="auto" w:line="276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Приоритети</w:t>
            </w:r>
          </w:p>
        </w:tc>
        <w:tc>
          <w:tcPr>
            <w:tcW w:w="7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20"/>
          </w:tcPr>
          <w:p>
            <w:pPr>
              <w:pStyle w:val="BodyText1"/>
              <w:keepNext w:val="true"/>
              <w:spacing w:lineRule="auto" w:line="276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Определение</w:t>
            </w:r>
          </w:p>
        </w:tc>
      </w:tr>
      <w:tr>
        <w:trPr>
          <w:cantSplit w:val="true"/>
        </w:trPr>
        <w:tc>
          <w:tcPr>
            <w:tcW w:w="18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1"/>
              <w:keepNext w:val="tru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линиите на достъп, водещо до прекъсване на</w:t>
            </w:r>
          </w:p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предоставяните услуги на НАЕМАТЕЛЯ</w:t>
            </w:r>
          </w:p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Прекъсване на връзката на НАЕМАТЕЛЯ и липса на възможност за</w:t>
            </w:r>
          </w:p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алтернативно маршрутизиране</w:t>
            </w:r>
          </w:p>
        </w:tc>
      </w:tr>
      <w:tr>
        <w:trPr>
          <w:trHeight w:val="292" w:hRule="atLeast"/>
          <w:cantSplit w:val="true"/>
        </w:trPr>
        <w:tc>
          <w:tcPr>
            <w:tcW w:w="18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1"/>
              <w:keepNext w:val="tru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Приоритет 2</w:t>
            </w:r>
          </w:p>
          <w:p>
            <w:pPr>
              <w:pStyle w:val="BodyText1"/>
              <w:keepNext w:val="tru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</w:r>
          </w:p>
        </w:tc>
        <w:tc>
          <w:tcPr>
            <w:tcW w:w="7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 връзка без да се нарушава предоставянето на услуги</w:t>
            </w:r>
          </w:p>
        </w:tc>
      </w:tr>
      <w:tr>
        <w:trPr>
          <w:cantSplit w:val="true"/>
        </w:trPr>
        <w:tc>
          <w:tcPr>
            <w:tcW w:w="18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1"/>
              <w:keepNext w:val="tru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Влошено качество на комуникацията</w:t>
            </w:r>
          </w:p>
        </w:tc>
      </w:tr>
      <w:tr>
        <w:trPr>
          <w:cantSplit w:val="true"/>
        </w:trPr>
        <w:tc>
          <w:tcPr>
            <w:tcW w:w="18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1"/>
              <w:keepNext w:val="true"/>
              <w:spacing w:lineRule="auto" w:line="276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5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Проблем възникнал, който не се отразява на качеството на услугата на</w:t>
            </w:r>
          </w:p>
          <w:p>
            <w:pPr>
              <w:pStyle w:val="L1"/>
              <w:keepNext w:val="tru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клиента</w:t>
            </w:r>
          </w:p>
        </w:tc>
      </w:tr>
    </w:tbl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0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3677"/>
        <w:gridCol w:w="1703"/>
        <w:gridCol w:w="1780"/>
        <w:gridCol w:w="2249"/>
      </w:tblGrid>
      <w:tr>
        <w:trPr>
          <w:trHeight w:val="549" w:hRule="atLeast"/>
          <w:cantSplit w:val="true"/>
        </w:trPr>
        <w:tc>
          <w:tcPr>
            <w:tcW w:w="3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12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7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12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12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pct12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bg-BG"/>
              </w:rPr>
              <w:t>Приоритет 4</w:t>
            </w:r>
          </w:p>
        </w:tc>
      </w:tr>
      <w:tr>
        <w:trPr>
          <w:trHeight w:val="448" w:hRule="atLeast"/>
          <w:cantSplit w:val="true"/>
        </w:trPr>
        <w:tc>
          <w:tcPr>
            <w:tcW w:w="3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22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до 48 часа</w:t>
            </w:r>
          </w:p>
        </w:tc>
      </w:tr>
    </w:tbl>
    <w:p>
      <w:pPr>
        <w:pStyle w:val="Normal"/>
        <w:spacing w:lineRule="auto" w:line="276" w:before="120" w:after="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bg-BG"/>
        </w:rPr>
        <w:t xml:space="preserve">За всички инциденти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НАЕМОДАТЕЛЯТ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уведомява по ел. поща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НАЕМАТЕЛЯ</w:t>
      </w:r>
      <w:r>
        <w:rPr>
          <w:rFonts w:cs="Times New Roman" w:ascii="Times New Roman" w:hAnsi="Times New Roman"/>
          <w:sz w:val="24"/>
          <w:szCs w:val="24"/>
          <w:lang w:val="bg-BG"/>
        </w:rPr>
        <w:t>.</w:t>
      </w:r>
      <w:r>
        <w:rPr>
          <w:rFonts w:cs="Times New Roman" w:ascii="Times New Roman" w:hAnsi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V. КОМПЕНСАЦИИ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sz w:val="24"/>
          <w:szCs w:val="24"/>
          <w:lang w:val="bg-BG"/>
        </w:rPr>
        <w:t>НАЕМОДАТЕЛЯТ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гарантира време за възстановяване на услугата, както е посочено в  Раздел IV т. 1, след като бъде регистрирана повреда в услугите предоставяни от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НАЕМОДАТЕЛЯ,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от страна на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НАЕМАТЕЛЯ</w:t>
      </w:r>
      <w:r>
        <w:rPr>
          <w:rFonts w:cs="Times New Roman" w:ascii="Times New Roman" w:hAnsi="Times New Roman"/>
          <w:sz w:val="24"/>
          <w:szCs w:val="24"/>
          <w:lang w:val="bg-BG"/>
        </w:rPr>
        <w:t>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Гарантирано време за възстановяване на услугата не включва планирани ремонти, кражби, форсмажорни събития и профилактики.</w:t>
      </w:r>
    </w:p>
    <w:p>
      <w:pPr>
        <w:pStyle w:val="Normal"/>
        <w:spacing w:lineRule="auto" w:line="276" w:before="0" w:after="0"/>
        <w:ind w:end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Срокът започва да тече от момента на заявяване на повредата.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Cs/>
          <w:iCs/>
          <w:sz w:val="24"/>
          <w:szCs w:val="24"/>
          <w:lang w:val="bg-BG"/>
        </w:rPr>
        <w:t xml:space="preserve">В случай, че </w:t>
      </w:r>
      <w:r>
        <w:rPr>
          <w:rFonts w:cs="Times New Roman" w:ascii="Times New Roman" w:hAnsi="Times New Roman"/>
          <w:b/>
          <w:iCs/>
          <w:sz w:val="24"/>
          <w:szCs w:val="24"/>
          <w:lang w:val="bg-BG"/>
        </w:rPr>
        <w:t>НАЕМОДАТЕЛЯТ</w:t>
      </w:r>
      <w:r>
        <w:rPr>
          <w:rFonts w:cs="Times New Roman" w:ascii="Times New Roman" w:hAnsi="Times New Roman"/>
          <w:bCs/>
          <w:iCs/>
          <w:sz w:val="24"/>
          <w:szCs w:val="24"/>
          <w:lang w:val="bg-BG"/>
        </w:rPr>
        <w:t xml:space="preserve"> не успее да възстанови услугата за гарантираното време, </w:t>
      </w:r>
      <w:r>
        <w:rPr>
          <w:rFonts w:cs="Times New Roman" w:ascii="Times New Roman" w:hAnsi="Times New Roman"/>
          <w:b/>
          <w:iCs/>
          <w:sz w:val="24"/>
          <w:szCs w:val="24"/>
          <w:lang w:val="bg-BG"/>
        </w:rPr>
        <w:t>НАЕМАТЕЛЯТ</w:t>
      </w:r>
      <w:r>
        <w:rPr>
          <w:rFonts w:cs="Times New Roman" w:ascii="Times New Roman" w:hAnsi="Times New Roman"/>
          <w:bCs/>
          <w:iCs/>
          <w:sz w:val="24"/>
          <w:szCs w:val="24"/>
          <w:lang w:val="bg-BG"/>
        </w:rPr>
        <w:t xml:space="preserve"> има право на компенсации както следва: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1.1. ПОМЕЩЕНИЕ ЗА КОЛОКАЦИЯ</w:t>
      </w:r>
    </w:p>
    <w:tbl>
      <w:tblPr>
        <w:tblW w:w="935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474"/>
        <w:gridCol w:w="4877"/>
      </w:tblGrid>
      <w:tr>
        <w:trPr>
          <w:trHeight w:val="1153" w:hRule="atLeast"/>
        </w:trPr>
        <w:tc>
          <w:tcPr>
            <w:tcW w:w="447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Възстановяване</w:t>
            </w:r>
          </w:p>
        </w:tc>
        <w:tc>
          <w:tcPr>
            <w:tcW w:w="4877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E7E6E6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Компенсации, % от месечната абонаментна цена</w:t>
            </w:r>
          </w:p>
        </w:tc>
      </w:tr>
      <w:tr>
        <w:trPr>
          <w:trHeight w:val="1153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10%</w:t>
            </w:r>
          </w:p>
        </w:tc>
      </w:tr>
      <w:tr>
        <w:trPr>
          <w:trHeight w:val="695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15%</w:t>
            </w:r>
          </w:p>
        </w:tc>
      </w:tr>
      <w:tr>
        <w:trPr>
          <w:trHeight w:val="657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20%</w:t>
            </w:r>
          </w:p>
        </w:tc>
      </w:tr>
      <w:tr>
        <w:trPr>
          <w:trHeight w:val="657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12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30%</w:t>
            </w:r>
          </w:p>
        </w:tc>
      </w:tr>
      <w:tr>
        <w:trPr>
          <w:trHeight w:val="657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16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50%</w:t>
            </w:r>
          </w:p>
        </w:tc>
      </w:tr>
      <w:tr>
        <w:trPr>
          <w:trHeight w:val="657" w:hRule="atLeast"/>
        </w:trPr>
        <w:tc>
          <w:tcPr>
            <w:tcW w:w="447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Възстановяване над 48 часа след гарантираното време</w:t>
            </w:r>
          </w:p>
        </w:tc>
        <w:tc>
          <w:tcPr>
            <w:tcW w:w="4877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bg-BG"/>
              </w:rPr>
              <w:t>100%</w:t>
            </w:r>
          </w:p>
        </w:tc>
      </w:tr>
    </w:tbl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1.2.  ОПТИЧНА СВЪРЗАНОСТ</w:t>
      </w:r>
    </w:p>
    <w:tbl>
      <w:tblPr>
        <w:tblW w:w="9385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517"/>
        <w:gridCol w:w="4868"/>
      </w:tblGrid>
      <w:tr>
        <w:trPr>
          <w:trHeight w:val="640" w:hRule="atLeast"/>
        </w:trPr>
        <w:tc>
          <w:tcPr>
            <w:tcW w:w="4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pct15"/>
          </w:tcPr>
          <w:p>
            <w:pPr>
              <w:pStyle w:val="Normal"/>
              <w:spacing w:lineRule="auto" w:line="276" w:before="0"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Възстановяване</w:t>
            </w:r>
          </w:p>
        </w:tc>
        <w:tc>
          <w:tcPr>
            <w:tcW w:w="48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pct15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bg-BG"/>
              </w:rPr>
              <w:t>Компенсации % от месечната такса за абонатен пост</w:t>
            </w:r>
          </w:p>
        </w:tc>
      </w:tr>
      <w:tr>
        <w:trPr>
          <w:trHeight w:val="630" w:hRule="atLeast"/>
        </w:trPr>
        <w:tc>
          <w:tcPr>
            <w:tcW w:w="4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3%</w:t>
            </w:r>
          </w:p>
        </w:tc>
      </w:tr>
      <w:tr>
        <w:trPr>
          <w:trHeight w:val="640" w:hRule="atLeast"/>
        </w:trPr>
        <w:tc>
          <w:tcPr>
            <w:tcW w:w="4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7%</w:t>
            </w:r>
          </w:p>
        </w:tc>
      </w:tr>
      <w:tr>
        <w:trPr>
          <w:trHeight w:val="640" w:hRule="atLeast"/>
        </w:trPr>
        <w:tc>
          <w:tcPr>
            <w:tcW w:w="4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10%</w:t>
            </w:r>
          </w:p>
        </w:tc>
      </w:tr>
      <w:tr>
        <w:trPr>
          <w:trHeight w:val="630" w:hRule="atLeast"/>
        </w:trPr>
        <w:tc>
          <w:tcPr>
            <w:tcW w:w="4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Възстановяване над 8 часа след гарантираното време</w:t>
            </w:r>
          </w:p>
        </w:tc>
        <w:tc>
          <w:tcPr>
            <w:tcW w:w="48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bg-BG"/>
              </w:rPr>
              <w:t>20%</w:t>
            </w:r>
          </w:p>
        </w:tc>
      </w:tr>
    </w:tbl>
    <w:p>
      <w:pPr>
        <w:pStyle w:val="Normal"/>
        <w:spacing w:lineRule="auto" w:line="276" w:before="0" w:after="0"/>
        <w:ind w:star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VI. РЕГИСТРИРАНЕ НА ПРОБЛЕМ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Констатирането на възникнали проблеми се извършва от поддържаща фирма. Независимо от това,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може да подаде рекламация за проблем по следните начини: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1.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по телефон -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НАЕМАТЕЛЯТ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се обажда на телефона на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 xml:space="preserve">НАЕМОДАТЕЛЯ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Обаждането се приема и регистрира от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НАЕМОДАТЕЛЯ</w:t>
      </w:r>
      <w:r>
        <w:rPr>
          <w:rFonts w:cs="Times New Roman" w:ascii="Times New Roman" w:hAnsi="Times New Roman"/>
          <w:sz w:val="24"/>
          <w:szCs w:val="24"/>
          <w:lang w:val="bg-BG"/>
        </w:rPr>
        <w:t>, като уведомява за това поддържащата фирма.</w:t>
      </w:r>
    </w:p>
    <w:p>
      <w:pPr>
        <w:pStyle w:val="Normal"/>
        <w:tabs>
          <w:tab w:val="clear" w:pos="720"/>
          <w:tab w:val="left" w:pos="0" w:leader="none"/>
          <w:tab w:val="left" w:pos="567" w:leader="none"/>
        </w:tabs>
        <w:spacing w:before="0" w:after="0"/>
        <w:jc w:val="both"/>
        <w:rPr>
          <w:rFonts w:ascii="Times New Roman" w:hAnsi="Times New Roman" w:eastAsia="Calibri" w:cs="Times New Roman"/>
          <w:sz w:val="24"/>
          <w:szCs w:val="24"/>
          <w:highlight w:val="yellow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ab/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>2.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</w:t>
      </w:r>
      <w:bookmarkStart w:id="3" w:name="_Hlk134523209"/>
      <w:r>
        <w:rPr>
          <w:rFonts w:cs="Times New Roman" w:ascii="Times New Roman" w:hAnsi="Times New Roman"/>
          <w:sz w:val="24"/>
          <w:szCs w:val="24"/>
          <w:lang w:val="bg-BG"/>
        </w:rPr>
        <w:t xml:space="preserve">чрез ел. поща </w:t>
      </w:r>
      <w:bookmarkEnd w:id="3"/>
      <w:r>
        <w:rPr>
          <w:rFonts w:cs="Times New Roman" w:ascii="Times New Roman" w:hAnsi="Times New Roman"/>
          <w:sz w:val="24"/>
          <w:szCs w:val="24"/>
          <w:lang w:val="bg-BG"/>
        </w:rPr>
        <w:t xml:space="preserve">- </w:t>
      </w:r>
      <w:r>
        <w:rPr>
          <w:rFonts w:cs="Times New Roman" w:ascii="Times New Roman" w:hAnsi="Times New Roman"/>
          <w:b/>
          <w:sz w:val="24"/>
          <w:szCs w:val="24"/>
          <w:lang w:val="bg-BG"/>
        </w:rPr>
        <w:t>НАЕМАТЕЛЯТ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 уведомява писмено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 xml:space="preserve">НАЕМОДАТЕЛЯ </w:t>
      </w:r>
      <w:r>
        <w:rPr>
          <w:rFonts w:eastAsia="Calibri" w:cs="Times New Roman" w:ascii="Times New Roman" w:hAnsi="Times New Roman"/>
          <w:sz w:val="24"/>
          <w:szCs w:val="24"/>
          <w:lang w:val="bg-BG"/>
        </w:rPr>
        <w:t>на следния имейл адрес: </w:t>
      </w:r>
      <w:hyperlink r:id="rId2">
        <w:r>
          <w:rPr>
            <w:rStyle w:val="Style8"/>
            <w:rFonts w:eastAsia="Calibri" w:cs="Times New Roman" w:ascii="Times New Roman" w:hAnsi="Times New Roman"/>
            <w:color w:val="0563C1"/>
            <w:sz w:val="24"/>
            <w:szCs w:val="24"/>
            <w:u w:val="single"/>
            <w:lang w:val="bg-BG"/>
          </w:rPr>
          <w:t>office@nciz.bg</w:t>
        </w:r>
      </w:hyperlink>
      <w:r>
        <w:rPr>
          <w:rFonts w:eastAsia="Calibri" w:cs="Times New Roman" w:ascii="Times New Roman" w:hAnsi="Times New Roman"/>
          <w:sz w:val="24"/>
          <w:szCs w:val="24"/>
          <w:lang w:val="bg-BG"/>
        </w:rPr>
        <w:t xml:space="preserve">. Писмото </w:t>
      </w:r>
      <w:r>
        <w:rPr>
          <w:rFonts w:cs="Times New Roman" w:ascii="Times New Roman" w:hAnsi="Times New Roman"/>
          <w:sz w:val="24"/>
          <w:szCs w:val="24"/>
          <w:lang w:val="bg-BG"/>
        </w:rPr>
        <w:t xml:space="preserve">се регистрира от </w:t>
      </w:r>
      <w:r>
        <w:rPr>
          <w:rFonts w:cs="Times New Roman" w:ascii="Times New Roman" w:hAnsi="Times New Roman"/>
          <w:b/>
          <w:bCs/>
          <w:sz w:val="24"/>
          <w:szCs w:val="24"/>
          <w:lang w:val="bg-BG"/>
        </w:rPr>
        <w:t xml:space="preserve">НАЕМОДАТЕЛЯ </w:t>
      </w:r>
      <w:r>
        <w:rPr>
          <w:rFonts w:cs="Times New Roman" w:ascii="Times New Roman" w:hAnsi="Times New Roman"/>
          <w:sz w:val="24"/>
          <w:szCs w:val="24"/>
          <w:lang w:val="bg-BG"/>
        </w:rPr>
        <w:t>и се уведомява поддържащата фирма.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2240" w:h="15840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ok">
    <w:charset w:val="cc" w:characterSet="windows-1251"/>
    <w:family w:val="roman"/>
    <w:pitch w:val="variable"/>
  </w:font>
  <w:font w:name="Segoe UI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Verdana">
    <w:charset w:val="cc" w:characterSet="windows-1251"/>
    <w:family w:val="swiss"/>
    <w:pitch w:val="variable"/>
  </w:font>
  <w:font w:name="Helvetica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187357728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187357728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lang w:val="bg-BG"/>
      </w:rPr>
    </w:pPr>
    <w:r>
      <w:rPr>
        <w:lang w:val="bg-BG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lang w:val="bg-BG"/>
      </w:rPr>
    </w:pPr>
    <w:r>
      <w:rPr>
        <w:lang w:val="bg-BG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568" w:hanging="283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624"/>
        </w:tabs>
        <w:ind w:start="624" w:hanging="22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360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504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576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qFormat/>
    <w:rsid w:val="0030395f"/>
    <w:pPr>
      <w:keepNext w:val="true"/>
      <w:spacing w:lineRule="auto" w:line="240" w:before="0" w:after="0"/>
      <w:outlineLvl w:val="4"/>
    </w:pPr>
    <w:rPr>
      <w:rFonts w:ascii="Timok" w:hAnsi="Timok" w:eastAsia="Times New Roman" w:cs="Times New Roman"/>
      <w:i/>
      <w:sz w:val="24"/>
      <w:szCs w:val="20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f00bd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f00bd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1a4ec3"/>
    <w:rPr>
      <w:rFonts w:ascii="Segoe UI" w:hAnsi="Segoe UI" w:cs="Segoe UI"/>
      <w:sz w:val="18"/>
      <w:szCs w:val="18"/>
    </w:rPr>
  </w:style>
  <w:style w:type="character" w:styleId="BodyTextIndent3Char" w:customStyle="1">
    <w:name w:val="Body Text Indent 3 Char"/>
    <w:basedOn w:val="DefaultParagraphFont"/>
    <w:link w:val="BodyTextIndent3"/>
    <w:qFormat/>
    <w:rsid w:val="001a4ec3"/>
    <w:rPr>
      <w:rFonts w:ascii="Timok" w:hAnsi="Timok" w:eastAsia="Times New Roman" w:cs="Times New Roman"/>
      <w:sz w:val="24"/>
      <w:szCs w:val="20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a4ec3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1a4ec3"/>
    <w:rPr>
      <w:sz w:val="20"/>
      <w:szCs w:val="20"/>
      <w:lang w:val="bg-BG"/>
    </w:rPr>
  </w:style>
  <w:style w:type="character" w:styleId="Heading5Char" w:customStyle="1">
    <w:name w:val="Heading 5 Char"/>
    <w:basedOn w:val="DefaultParagraphFont"/>
    <w:link w:val="Heading5"/>
    <w:qFormat/>
    <w:rsid w:val="0030395f"/>
    <w:rPr>
      <w:rFonts w:ascii="Timok" w:hAnsi="Timok" w:eastAsia="Times New Roman" w:cs="Times New Roman"/>
      <w:i/>
      <w:sz w:val="24"/>
      <w:szCs w:val="20"/>
      <w:lang w:val="x-none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f00bd"/>
    <w:pPr>
      <w:tabs>
        <w:tab w:val="clear" w:pos="720"/>
        <w:tab w:val="center" w:pos="4703" w:leader="none"/>
        <w:tab w:val="right" w:pos="940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f00bd"/>
    <w:pPr>
      <w:tabs>
        <w:tab w:val="clear" w:pos="720"/>
        <w:tab w:val="center" w:pos="4703" w:leader="none"/>
        <w:tab w:val="right" w:pos="9406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4f00bd"/>
    <w:pPr>
      <w:spacing w:before="0" w:after="160"/>
      <w:ind w:start="72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a4ec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qFormat/>
    <w:rsid w:val="001a4ec3"/>
    <w:pPr>
      <w:spacing w:lineRule="auto" w:line="240" w:before="0" w:after="0"/>
      <w:ind w:start="720"/>
      <w:jc w:val="both"/>
    </w:pPr>
    <w:rPr>
      <w:rFonts w:ascii="Timok" w:hAnsi="Timok" w:eastAsia="Times New Roman" w:cs="Times New Roman"/>
      <w:sz w:val="24"/>
      <w:szCs w:val="20"/>
      <w:lang w:val="x-non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a4ec3"/>
    <w:pPr>
      <w:spacing w:lineRule="auto" w:line="240"/>
    </w:pPr>
    <w:rPr>
      <w:sz w:val="20"/>
      <w:szCs w:val="20"/>
      <w:lang w:val="bg-BG"/>
    </w:rPr>
  </w:style>
  <w:style w:type="paragraph" w:styleId="tire" w:customStyle="1">
    <w:name w:val="tire"/>
    <w:basedOn w:val="Normal"/>
    <w:uiPriority w:val="99"/>
    <w:qFormat/>
    <w:rsid w:val="00dc550f"/>
    <w:pPr>
      <w:spacing w:lineRule="auto" w:line="360" w:before="0" w:after="120"/>
      <w:ind w:start="1643"/>
      <w:jc w:val="both"/>
    </w:pPr>
    <w:rPr>
      <w:rFonts w:ascii="Verdana" w:hAnsi="Verdana" w:eastAsia="Gulim" w:cs="Gulim"/>
      <w:sz w:val="20"/>
      <w:szCs w:val="20"/>
      <w:lang w:eastAsia="zh-CN"/>
    </w:rPr>
  </w:style>
  <w:style w:type="paragraph" w:styleId="BodyText1" w:customStyle="1">
    <w:name w:val="Body Text1"/>
    <w:basedOn w:val="Normal"/>
    <w:qFormat/>
    <w:rsid w:val="00b16ea3"/>
    <w:pPr>
      <w:spacing w:lineRule="auto" w:line="240" w:before="0" w:after="0"/>
    </w:pPr>
    <w:rPr>
      <w:rFonts w:ascii="Helvetica" w:hAnsi="Helvetica" w:eastAsia="Times New Roman" w:cs="Times New Roman"/>
      <w:sz w:val="20"/>
      <w:szCs w:val="20"/>
    </w:rPr>
  </w:style>
  <w:style w:type="paragraph" w:styleId="L1" w:customStyle="1">
    <w:name w:val="L1"/>
    <w:basedOn w:val="Normal"/>
    <w:qFormat/>
    <w:rsid w:val="00b16ea3"/>
    <w:pPr>
      <w:spacing w:lineRule="auto" w:line="240" w:before="0" w:after="80"/>
      <w:ind w:hanging="360" w:start="360"/>
    </w:pPr>
    <w:rPr>
      <w:rFonts w:ascii="Helvetica" w:hAnsi="Helvetica" w:eastAsia="Times New Roman" w:cs="Times New Roman"/>
      <w:sz w:val="20"/>
      <w:szCs w:val="20"/>
    </w:rPr>
  </w:style>
  <w:style w:type="paragraph" w:styleId="FrameContentsuser" w:customStyle="1">
    <w:name w:val="Frame Contents (user)"/>
    <w:basedOn w:val="Normal"/>
    <w:qFormat/>
    <w:pPr/>
    <w:rPr/>
  </w:style>
  <w:style w:type="paragraph" w:styleId="Revision">
    <w:name w:val="Revision"/>
    <w:uiPriority w:val="99"/>
    <w:semiHidden/>
    <w:qFormat/>
    <w:rsid w:val="000609cf"/>
    <w:pPr>
      <w:widowControl/>
      <w:suppressAutoHyphens w:val="fals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ffice@nciz.bg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LibreOffice/25.8.4.2$Windows_X86_64 LibreOffice_project/290daaa01b999472f0c7a3890eb6a550fd74c6df</Application>
  <AppVersion>15.0000</AppVersion>
  <Pages>4</Pages>
  <Words>911</Words>
  <Characters>5090</Characters>
  <CharactersWithSpaces>5892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2024-11-14T14:35:00Z</dcterms:created>
  <dc:creator>Ivaylo Kanov</dc:creator>
  <dc:description/>
  <dc:language>bg-BG</dc:language>
  <cp:lastModifiedBy/>
  <cp:lastPrinted>2023-05-09T08:51:00Z</cp:lastPrinted>
  <dcterms:modified xsi:type="dcterms:W3CDTF">2024-11-20T09:13:00Z</dcterms:modified>
  <cp:revision>3</cp:revision>
  <dc:subject/>
  <dc:title/>
</cp:coreProperties>
</file>